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shd w:val="clear" w:fill="FFFFFF"/>
        </w:rPr>
        <w:t>中华人民共和国产品质量法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ascii="Calibri" w:hAnsi="Calibri" w:cs="Calibri"/>
          <w:sz w:val="24"/>
          <w:szCs w:val="24"/>
        </w:rPr>
      </w:pPr>
      <w:bookmarkStart w:id="0" w:name="_GoBack"/>
      <w:bookmarkEnd w:id="0"/>
      <w:r>
        <w:rPr>
          <w:rFonts w:hint="eastAsia" w:ascii="宋体" w:hAnsi="宋体" w:eastAsia="宋体" w:cs="宋体"/>
          <w:b/>
          <w:bCs/>
          <w:i w:val="0"/>
          <w:iCs w:val="0"/>
          <w:caps w:val="0"/>
          <w:color w:val="333333"/>
          <w:spacing w:val="0"/>
          <w:sz w:val="24"/>
          <w:szCs w:val="24"/>
          <w:shd w:val="clear" w:fill="FFFFFF"/>
        </w:rPr>
        <w:t>中华人民共和</w:t>
      </w:r>
      <w:r>
        <w:rPr>
          <w:rStyle w:val="6"/>
          <w:rFonts w:hint="eastAsia" w:ascii="宋体" w:hAnsi="宋体" w:eastAsia="宋体" w:cs="宋体"/>
          <w:b/>
          <w:bCs/>
          <w:i w:val="0"/>
          <w:iCs w:val="0"/>
          <w:caps w:val="0"/>
          <w:color w:val="333333"/>
          <w:spacing w:val="0"/>
          <w:sz w:val="24"/>
          <w:szCs w:val="24"/>
          <w:shd w:val="clear" w:fill="FFFFFF"/>
        </w:rPr>
        <w:t>国主席令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（第三十三号）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1993年2月22日第七届全国人民代表大会常务委员会第三十次会议通过；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w:t>
      </w:r>
      <w:r>
        <w:rPr>
          <w:rFonts w:hint="eastAsia" w:ascii="宋体" w:hAnsi="宋体" w:eastAsia="宋体" w:cs="宋体"/>
          <w:b/>
          <w:bCs/>
          <w:i w:val="0"/>
          <w:iCs w:val="0"/>
          <w:caps w:val="0"/>
          <w:color w:val="333333"/>
          <w:spacing w:val="0"/>
          <w:sz w:val="24"/>
          <w:szCs w:val="24"/>
          <w:shd w:val="clear" w:fill="FFFFFF"/>
        </w:rPr>
        <w:t>中华人民共和</w:t>
      </w:r>
      <w:r>
        <w:rPr>
          <w:rStyle w:val="6"/>
          <w:rFonts w:hint="eastAsia" w:ascii="宋体" w:hAnsi="宋体" w:eastAsia="宋体" w:cs="宋体"/>
          <w:b/>
          <w:bCs/>
          <w:i w:val="0"/>
          <w:iCs w:val="0"/>
          <w:caps w:val="0"/>
          <w:color w:val="333333"/>
          <w:spacing w:val="0"/>
          <w:sz w:val="24"/>
          <w:szCs w:val="24"/>
          <w:shd w:val="clear" w:fill="FFFFFF"/>
        </w:rPr>
        <w:t>国产品质量法》</w:t>
      </w:r>
      <w:r>
        <w:rPr>
          <w:rStyle w:val="6"/>
          <w:rFonts w:hint="eastAsia" w:ascii="宋体" w:hAnsi="宋体" w:eastAsia="宋体" w:cs="宋体"/>
          <w:b/>
          <w:bCs/>
          <w:i w:val="0"/>
          <w:iCs w:val="0"/>
          <w:caps w:val="0"/>
          <w:color w:val="333333"/>
          <w:spacing w:val="0"/>
          <w:sz w:val="24"/>
          <w:szCs w:val="24"/>
          <w:shd w:val="clear" w:fill="FFFFFF"/>
        </w:rPr>
        <w:br w:type="textWrapping"/>
      </w:r>
      <w:r>
        <w:rPr>
          <w:rStyle w:val="6"/>
          <w:rFonts w:hint="eastAsia" w:ascii="宋体" w:hAnsi="宋体" w:eastAsia="宋体" w:cs="宋体"/>
          <w:b/>
          <w:bCs/>
          <w:i w:val="0"/>
          <w:iCs w:val="0"/>
          <w:caps w:val="0"/>
          <w:color w:val="333333"/>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第一条 为了加强对产品质量的监督管理，提高产品质量水平，明确产品质量责任，保护消费者的合法权益，维护社会经济秩序，制定本法。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第二条 在中华人民共和国境内从事产品生产、销售活动，必须遵守本法。本法所称产品是指经过加工、制作，用于销售的产品。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建设工程不适用本法规定；但是，建设工程使用的建筑材料、建筑构配件和设备，属于前款规定的产品范围的，适用本法规定。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第三条 生产者、销售者应当建立健全内部产品质量管理制度，严格实施岗位质量规范、质量责任以及相应的考核办法。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第四条 生产者、销售者依照本法规定承担产品质量责任。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第五条 禁止伪造或者冒用认证标志等质量标志；禁止伪造产品的产地，伪造或者冒用他人的厂名、厂址；禁止在生产、销售的产品中掺杂、掺假，以假充真，以次充好。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第六条 国家鼓励推行科学的质量管理方法，采用先进的科学技术，鼓励企业产品质量达到并且超过行业标准、国家标准和国际标准。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对产品质量管理先进和产品质量达到国际先进水平、成绩显著的单位和个人，给予奖励。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第八条 国务院产品质量监督部门主管全国产品质量监督工作。国务院有关部门在各自的职责范围内负责产品质量监督工作。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县级以上地方产品质量监督部门主管本行政区域内的产品质量监督工作。县级以上地方人民政府有关部门在各自的职责范围内负责产品质量监督工作。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法律对产品质量的监督部门另有规定的，依照有关法律的规定执行。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各级地方人民政府和其他国家机关有包庇、放纵产品生产、销售中违反本法规定的行为的，依法追究其主要负责人的法律责任。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第十条 任何单位和个人有权对违反本法规定的行为，向产品质量监督部门或者其他有关部门检举。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产品质量监督部门和有关部门应当为检举人保密，并按照省、自治区、直辖市人民政府的规定给予奖励。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第十一条 任何单位和个人不得排斥非本地区或者非本系统企业生产的质量合格产品进入本地区、本系统。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第二章 产品质量的监督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第十二条 产品质量应当检验合格，不得以不合格产品冒充合格产品。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第十三条 可能危及人体健康和人身、财产安全的工业产品，必须符合保障人体健康和人身、财产安全的国家标准、行业标准；未制定国家标准、行业标准的，必须符合保障人体健康和人身、财产安全的要求。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禁止生产、销售不符合保障人体健康和人身、财产安全的标准和要求的工业产品。具体管理办法由国务院规定。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国家监督抽查的产品，地方不得另行重复抽查；上级监督抽查的产品，下级不得另行重复抽查。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根据监督抽查的需要，可以对产品进行检验。检验抽取样品的数量不得超过检验的合理需要，并不得向被检查人收取检验费用。监督抽查所需检验费用按照国务院规定列支。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生产者、销售者对抽查检验的结果有异议的，可以自收到检验结果之日起十五日内向实施监督抽查的产品质量监督部门或者其上级产品质量监督部门申请复检，由受理复检的产品质量监督部门作出复检结论。（未完待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第十六条 对依法进行的产品质量监督检查，生产者、销售者不得拒绝。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监督抽查的产品有严重质量问题的，依照本法第五章的有关规定处罚。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第十八条 县级以上产品质量监督部门根据已经取得的违法嫌疑证据或者举报，对涉嫌违反本法规定的行为进行查处时，可以行使下列职权：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（一）对当事人涉嫌从事违反本法的生产、销售活动的场所实施现场检查；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（二）向当事人的法定代表人、主要负责人和其他有关人员调查、了解与涉嫌从事违反本法的生产、销售活动有关的情况；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（三）查阅、复制当事人有关的合同、发票、帐簿以及其他有关资料；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（四）对有根据认为不符合保障人体健康和人身、财产安全的国家标准、行业标准的产品或者有其他严重质量问题的产品，以及直接用于生产、销售该项产品的原辅材料、包装物、生产工具，予以查封或者扣押。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县级以上工商行政管理部门按照国务院规定的职责范围，对涉嫌违反本法规定的行为进行查处时，可以行使前款规定的职权。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第二十条 从事产品质量检验、认证的社会中介机构必须依法设立，不得与行政机关和其他国家机关存在隶属关系或者其他利益关系。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第二十一条 产品质量检验机构、认证机构必须依法按照有关标准，客观、公正地出具检验结果或者认证证明。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产品质量认证机构应当依照国家规定对准许使用认证标志的产品进行认证后的跟踪检查；对不符合认证标准而使用认证标志的，要求其改正；情节严重的，取消其使用认证标志的资格。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第二十二条 消费者有权就产品质量问题，向产品的生产者、销售者查询；向产品质量监督部门、工商行政管理部门及有关部门申诉，接受申诉的部门应当负责处理。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第二十三条 保护消费者权益的社会组织可以就消费者反映的产品质量问题建议有关部门负责处理，支持消费者对因产品质量造成的损害向人民法院起诉。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第二十四条 国务院和省、自治区、直辖市人民政府的产品质量监督部门应当定期发布其监督抽查的产品的质量状况公告。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第二十五条 产品质量监督部门或者其他国家机关以及产品质量检验机构不得向社会推荐生产者的产品；不得以对产品进行监制、监销等方式参与产品经营活动。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第三章 生产者、销售者的产品质量责任和义务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第一节 生产者的产品质量责任和义务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第二十六条 生产者应当对其生产的产品质量负责。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（一）不存在危及人身、财产安全的不合理的危险，有保障人体健康和人身、财产安全的国家标准、行业标准的，应当符合该标准；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（二）具备产品应当具备的使用性能，但是，对产品存在使用性能的瑕疵作出说明的除外；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（三）符合在产品或者其包装上注明采用的产品标准，符合以产品说明、实物样品等方式表明的质量状况。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第二十七条 产品或者其包装上的标识必须真实，并符合下列要求：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（一）有产品质量检验合格证明；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（二）有中文标明的产品名称、生产厂厂名和厂址；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（三）根据产品的特点和使用要求，需要标明产品规格、等级、所含主要成份的名称和含量的，用中文相应予以标明；需要事先让消费者知晓的，应当在外包装上标明，或者预先向消费者提供有关资料；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（四）限期使用的产品，应当在显著位置清晰地标明生产日期和安全使用期或者失效日期；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（五）使用不当，容易造成产品本身损坏或者可能危及人身、财产安全的产品，应当有警示标志或者中文警示说明。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裸装的食品和其他根据产品的特点难以附加标识的裸装产品，可以不附加产品标识。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第二十九条 生产者不得生产国家明令淘汰的产品。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第三十条 生产者不得伪造产地，不得伪造或者冒用他人的厂名、厂址。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第三十一条 生产者不得伪造或者冒用认证标志等质量标志。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第三十二条 生产者生产产品，不得掺杂、掺假，不得以假充真、以次充好，不得以不合格产品冒充合格产品。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第二节 销售者的产品质量责任和义务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第三十三条 销售者应当建立并执行进货检查验收制度，验明产品合格证明和其他标识。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第三十四条 销售者应当采取措施，保持销售产品的质量。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第三十五条 销售者不得销售国家明令淘汰并停止销售的产品和失效、变质的产品。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第三十六条 销售者销售的产品的标识应当符合本法第二十七条的规定。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第三十七条 销售者不得伪造产地，不得伪造或者冒用他人的厂名、厂址。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第三十八条 销售者不得伪造或者冒用认证标志等质量标志。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第三十九条 销售者销售产品，不得掺杂、掺假，不得以假充真、以次充好，不得以不合格产品冒充合格产品。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第四章 损害赔偿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第四十条 售出的产品有下列情形之一的，销售者应当负责修理、更换、退货；给购买产品的消费者造成损失的，销售者应当赔偿损失：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（一）不具备产品应当具备的使用性能而事先未作说明的；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（二）不符合在产品或者其包装上注明采用的产品标准的；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（三）不符合以产品说明、实物样品等方式表明的质量状况的。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销售者依照前款规定负责修理、更换、退货、赔偿损失后，属于生产者的责任或者属于向销售者提供产品的其他销售者（以下简称供货者）的责任的，销售者有权向生产者、供货者追偿。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销售者未按照第一款规定给予修理、更换、退货或者赔偿损失的，由产品质量监督部门或者工商行政管理部门责令改正。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生产者之间，销售者之间，生产者与销售者之间订立的买卖合同、承揽合同有不同约定的，合同当事人按照合同约定执行。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第四十一条 因产品存在缺陷造成人身、缺陷产品以外的其他财产（以下简称他人财产）损害的，生产者应当承担赔偿责任。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生产者能够证明有下列情形之一的，不承担赔偿责任：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（一）未将产品投入流通的；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（二）产品投入流通时，引起损害的缺陷尚不存在的；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（三）将产品投入流通时的科学技术水平尚不能发现缺陷的存在的。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第四十二条 由于销售者的过错使产品存在缺陷，造成人身、他人财产损害的，销售者应当承担赔偿责任。销售者不能指明缺陷产品的生产者也不能指明缺陷产品的供货者的，销售者应当承担赔偿责任。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第四十三条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第四十四条 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因产品存在缺陷造成受害人财产损失的，侵害人应当恢复原状或者折价赔偿。受害人因此遭受其他重大损失的，侵害人应当赔偿损失。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第四十五条 因产品存在缺陷造成损害要求赔偿的诉讼时效期间为二年，自当事人知道或者应当知道其权益受到损害时起计算。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因产品存在缺陷造成损害要求赔偿的请求权，在造成损害的缺陷产品交付最初消费者满十年丧失；但是，尚未超过明示的安全使用期的除外。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第四十六条 本法所称缺陷，是指产品存在危及人身、他人财产安全的不合理的危险；产品有保障人体健康和人身、财产安全的国家标准、行业标准的，是指不符合该标准。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第四十八条 仲裁机构或者人民法院可以委托本法第十九条规定的产品质量检验机构，对有关产品质量进行检验。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第五章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第五十二条 销售失效、变质的产品的，责令停止销售，没收违法销售的产品，并处违法销售产品货值金额二倍以下的罚款；有违法所得的，并处没收违法所得；情节严重的，吊销营业执照；构成犯罪的，依法追究刑事责任。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第五十五条 销售者销售本法第四十九条至第五十三条规定禁止销售的产品，有充分证据证明其不知道该产品为禁止销售的产品并如实说明其进货来源的，可以从轻或者减轻处罚。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第五十六条 拒绝接受依法进行的产品质量监督检查的，给予警告，责令改正；拒不改正的，责令停业整顿；情节特别严重的，吊销营业执照。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产品质量检验机构、认证机构出具的检验结果或者证明不实，造成损失的，应当承担相应的赔偿责任；造成重大损失的，撤销其检验资格、认证资格。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第五十八条 社会团体、社会中介机构对产品质量作出承诺、保证，而该产品又不符合其承诺、保证的质量要求，给消费者造成损失的，与产品的生产者、销售者承担连带责任。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第五十九条 在广告中对产品质量作虚假宣传，欺骗和误导消费者的，依照《中华人民共和国广告法》的规定追究法律责任。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第六十条 对生产者专门用于生产本法第四十九条、第五十一条所列的产品或者以假充真的产品的原辅材料、包装物、生产工具，应当予以没收。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第六十三条 隐匿、转移、变卖、损毁被产品质量监督部门或者工商行政管理部门查封、扣押的物品的，处被隐匿、转移、变卖、损毁物品货值金额等值以上三倍以下的罚款；有违法所得的，并处没收违法所得。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第六十四条 违反本法规定，应当承担民事赔偿责任和缴纳罚款、罚金，其财产不足以同时支付时，先承担民事赔偿责任。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第六十五条 各级人民政府工作人员和其他国家机关工作人员有下列情形之一的，依法给予行政处分；构成犯罪的，依法追究刑事责任：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（一）包庇、放纵产品生产、销售中违反本法规定行为的；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（二）向从事违反本法规定的生产、销售活动的当事人通风报信，帮助其逃避查处的；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（三）阻挠、干预产品质量监督部门或者工商行政管理部门依法对产品生产、销售中违反本法规定的行为进行查处，造成严重后果的。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第六十六条 产品质量监督部门在产品质量监督抽查中超过规定的数量索取样品或者向被检查人收取检验费用的，由上级产品质量监督部门或者监察机关责令退还；情节严重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第六十七条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产品质量检验机构有前款所列违法行为的，由产品质量监督部门责令改正，消除影响，有违法收入的予以没收，可以并处违法收入一倍以下的罚款；情节严重的，撤销其质量检验资格。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第六十八条 产品质量监督部门或者工商行政管理部门的工作人员滥用职权、玩忽职守、徇私舞弊，构成犯罪的，依法追究刑事责任；尚不构成犯罪的，依法给予行政处分。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第六十九条 以暴力、威胁方法阻碍产品质量监督部门或者工商行政管理部门的工作人员依法执行职务的，依法追究刑事责任；拒绝、阻碍未使用暴力、威胁方法的，由公安机关依照治安管理处罚法的规定处罚。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第七十条 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第七十一条 对依照本法规定没收的产品，依照国家有关规定进行销毁或者采取其他方式处理。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第七十二条 本法第四十九条至第五十四条、第六十二条、第六十三条所规定的货值金额以违法生产、销售产品的标价计算；没有标价的，按照同类产品的市场价格计算。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第七十三条 军工产品质量监督管理办法，由国务院、中央军事委员会另行制定。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因核设施、核产品造成损害的赔偿责任，法律、行政法规另有规定的，依照其规定。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第七十四条 本法自1993年9月1日起施行。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26887D7C"/>
    <w:rsid w:val="524D5A8B"/>
    <w:rsid w:val="6AE5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8214</Words>
  <Characters>8242</Characters>
  <Lines>0</Lines>
  <Paragraphs>0</Paragraphs>
  <TotalTime>0</TotalTime>
  <ScaleCrop>false</ScaleCrop>
  <LinksUpToDate>false</LinksUpToDate>
  <CharactersWithSpaces>8586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BEDAB1BC27BA42AAAC789E3DF967193A</vt:lpwstr>
  </property>
</Properties>
</file>